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FF" w:rsidRPr="00E031D6" w:rsidRDefault="006448FF" w:rsidP="006448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8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6448FF" w:rsidRPr="0088003B" w:rsidRDefault="006448FF" w:rsidP="006448F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Разъяснения и практические рекомендации к требованиям по финансовой отчетности</w:t>
      </w:r>
    </w:p>
    <w:p w:rsidR="006448FF" w:rsidRPr="0088003B" w:rsidRDefault="006448FF" w:rsidP="006448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FF" w:rsidRPr="00E825B0" w:rsidRDefault="006448FF" w:rsidP="006448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825B0">
        <w:rPr>
          <w:rFonts w:ascii="Times New Roman" w:eastAsia="Times New Roman" w:hAnsi="Times New Roman" w:cs="Times New Roman"/>
          <w:lang w:eastAsia="ru-RU"/>
        </w:rPr>
        <w:t xml:space="preserve">Данные разъяснения носят практический характер и рекомендуются для изучения перед подачей заявки всем заявителям, как штатным сотрудникам, так и студентам/магистрантам или аспирантам. В случае штатных сотрудников – данная категория заявителей  отчитывается непосредственно в бухгалтерии по служебному заданию, а в случае студентов/магистрантов и аспирантов – </w:t>
      </w:r>
      <w:r>
        <w:rPr>
          <w:rFonts w:ascii="Times New Roman" w:eastAsia="Times New Roman" w:hAnsi="Times New Roman" w:cs="Times New Roman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мегафакультете</w:t>
      </w:r>
      <w:proofErr w:type="spellEnd"/>
      <w:r w:rsidRPr="00E825B0">
        <w:rPr>
          <w:rFonts w:ascii="Times New Roman" w:eastAsia="Times New Roman" w:hAnsi="Times New Roman" w:cs="Times New Roman"/>
          <w:lang w:eastAsia="ru-RU"/>
        </w:rPr>
        <w:t>.</w:t>
      </w:r>
    </w:p>
    <w:p w:rsidR="006448FF" w:rsidRPr="00E825B0" w:rsidRDefault="006448FF" w:rsidP="006448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825B0">
        <w:rPr>
          <w:rFonts w:ascii="Times New Roman" w:eastAsia="Times New Roman" w:hAnsi="Times New Roman" w:cs="Times New Roman"/>
          <w:lang w:eastAsia="ru-RU"/>
        </w:rPr>
        <w:t xml:space="preserve">Разъяснения  призваны помочь заявителям избежать ситуации, при  которой неправильно или ненадлежащим образом оформленные финансовые документы не смогут быть приняты к зачету и соответственно не будут оплачены. Это особенно касается ситуаций совмещения двух поездок, участия в мероприятии во время отпуска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E825B0">
        <w:rPr>
          <w:rFonts w:ascii="Times New Roman" w:eastAsia="Times New Roman" w:hAnsi="Times New Roman" w:cs="Times New Roman"/>
          <w:lang w:eastAsia="ru-RU"/>
        </w:rPr>
        <w:t>других нестандартных ситуаций.</w:t>
      </w:r>
    </w:p>
    <w:p w:rsidR="006448FF" w:rsidRPr="0088003B" w:rsidRDefault="006448FF" w:rsidP="006448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FF" w:rsidRPr="0088003B" w:rsidRDefault="006448FF" w:rsidP="006448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Командировочное удостоверение может не оформляться, если работник должен возвратиться из командировки в место постоянной работы в тот же день, в который он был командирован. 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качестве неотъемлемого приложения к авансовому отчету предусматривается наличие следующих оправдательных документов: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командировочного удостоверения, оформленного надлежащим образом (для поездок по России); 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счета за проживание;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фактических расходах по проезду (кроме  трансфера) (включая страховой взнос на обязательное личное страхование пассажиров на транспорте, оплату услуг по оформлению проездных документов и предоставлению в поездах постельных принадлежностей);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 оплате </w:t>
      </w:r>
      <w:proofErr w:type="spellStart"/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оргвзноса</w:t>
      </w:r>
      <w:proofErr w:type="spellEnd"/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оплате визы;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 оплате медицинского страхования. 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В качестве документа, подтверждающего расходы на проезд работника (заявителя) к месту командировки (месту проведения научного мероприятия) и обратно, по общему правилу выступает </w:t>
      </w:r>
      <w:r w:rsidRPr="0088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подлинник</w:t>
      </w: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проездного документа.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качестве проездных документов оформляются </w:t>
      </w:r>
      <w:r w:rsidRPr="0088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пассажирские билеты</w:t>
      </w: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необходимым условием учета стоимости проезда в расходах будет наличие маршрутной квитанции и </w:t>
      </w:r>
      <w:r w:rsidRPr="0088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оригинала посадочного талона</w:t>
      </w: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</w:t>
      </w: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! Бронь авиабилета, подтверждающая лишь резервирование места по определенному маршруту на определенную дату, при отсутствии маршрут/квитанции (e-</w:t>
      </w:r>
      <w:proofErr w:type="spellStart"/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ticket</w:t>
      </w:r>
      <w:proofErr w:type="spellEnd"/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электронного билета </w:t>
      </w:r>
      <w:r w:rsidRPr="0088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подтверждением расходов на проезд не является</w:t>
      </w: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Кассовые чеки признаются первичными учетными документами, подтверждающими фактическое осуществление затрат на приобретение за наличный расчет товаров (работ, услуг), при условии, что на них содержатся необходимые данные. 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заявитель проживает вдвоем (второе лицо может и не являться командированным), то в этом случае представляется к возмещению раздельный счет за проживание каждого лица.  Исключением является представление счета за проживание, где вписаны оба лица, которые являются командированными. В этом случае второе лицо представляет в финансовом отчете копию,  заверяемую ответственным сотрудником при приемке документов.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Если оплата </w:t>
      </w:r>
      <w:proofErr w:type="spellStart"/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оргвзноса</w:t>
      </w:r>
      <w:proofErr w:type="spellEnd"/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проживания или проезда произошла по безналичному расчету с лицевого счета одного из командируемых, то второе лицо представляет копии  счетов из банка, заверяемые ответственным сотрудником при приемке документов. (Заявители из числа студентов/магистров, аспирантов к возмещению прилагают только именные платежные документы.)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Если работник убывает в командировку ранее даты, указанной в приказе о командировании (возвращается из командировки позднее установленной даты), то оплата его проезда </w:t>
      </w:r>
      <w:r w:rsidRPr="0088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некоторых случаях</w:t>
      </w: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рассматриваться как компенсация расходов, связанных со служебной командировкой.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Если срок пребывания в месте командирования значительно превышает срок, установленный приказом о командировании (например, в случае, если сразу после окончания командировки работнику предоставляется отпуск, который он проводит в месте командирования), то компенсация оплаты проезда от места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до места работы </w:t>
      </w: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не осуществляется.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Если же, например, работник остается в месте командирования, используя выходные или нерабочие праздничные дни,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произведет компенсацию </w:t>
      </w: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проезда от места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места работы. 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Аналогичный подход используется в случае выезда работника к месту командировки до даты ее начала.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ситуациях принимается во внимание, что указанные затраты были бы понесены в любом случае вне зависимости от срока пребывания работника в месте назначения.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 рекомендуется отражать дополнительные дни пребывания в командировке в заявке. Тем не менее, это должно быть мотивировано служебной  или научной необходимостью – например, связано с запланированным семинаром (</w:t>
      </w:r>
      <w:r w:rsidRPr="00880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workshop</w:t>
      </w: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или  после проведения научного мероприятия.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88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 зависимости от времени</w:t>
      </w: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проведенного в месте назначения, расходы на приобретение проездного билета для проезда работника из места командировки к месту постоянной работы могут учитываться в расходах в следующих случаях: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дата выбытия работника из места командировки к месту постоянной работы совпадает с датой, на которую приобретен вышеуказанный проездной билет,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задержка выезда командированного из места командировки (либо более ранний выезд работника к месту назначения) произошла с разрешения руководителя, подтверждающего в соответствии с установленным порядком целесообразность произведенных расходов.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Если организация отзывает сотрудника из отпуска и отправляет его в командировку, то работник может направиться к месту командировки непосредственно из того места, где он проводил отпуск. Стоимость проезда из места отпуска к месту командировки и обратно учитывается в расходах. 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Pr="0088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Первичные учетные документы, подтверждающие произведенные расходы,</w:t>
      </w: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они оформлены в соответствии с обычаями делового оборота, применяемыми в иностранном государстве, и составлены на иностранном языке, </w:t>
      </w:r>
      <w:r w:rsidRPr="0088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быть в обязательном порядке переведены на русский язык</w:t>
      </w: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8FF" w:rsidRPr="0088003B" w:rsidRDefault="006448FF" w:rsidP="00644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случае наличия у заявителя первичных документов, составленных на иностранном языке по типовой форме, достаточно однократно осуществить перевод на русский язык постоянных показателей типовой формы. В последующем же заявитель осуществляет при необходимости перевод изменяющихся показателей первичного документа.</w:t>
      </w:r>
    </w:p>
    <w:p w:rsidR="006448FF" w:rsidRDefault="006448FF" w:rsidP="006448FF"/>
    <w:p w:rsidR="00E02A44" w:rsidRDefault="00E02A44"/>
    <w:sectPr w:rsidR="00E0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07"/>
    <w:rsid w:val="00184307"/>
    <w:rsid w:val="006448FF"/>
    <w:rsid w:val="00CD3348"/>
    <w:rsid w:val="00E0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5199</Characters>
  <Application>Microsoft Macintosh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Kristina Krutilina</cp:lastModifiedBy>
  <cp:revision>2</cp:revision>
  <dcterms:created xsi:type="dcterms:W3CDTF">2016-02-12T13:22:00Z</dcterms:created>
  <dcterms:modified xsi:type="dcterms:W3CDTF">2016-02-12T13:22:00Z</dcterms:modified>
</cp:coreProperties>
</file>