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9944" w14:textId="77777777" w:rsidR="001A700B" w:rsidRPr="001A700B" w:rsidRDefault="001A700B" w:rsidP="0006052D">
      <w:pPr>
        <w:spacing w:before="100" w:beforeAutospacing="1" w:after="198"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Национальный исследовательский университет «Высшая школа экономики»</w:t>
      </w:r>
    </w:p>
    <w:p w14:paraId="086CAE28" w14:textId="2FA6AE10" w:rsidR="001A700B" w:rsidRPr="001A700B" w:rsidRDefault="001A700B" w:rsidP="0006052D">
      <w:pPr>
        <w:spacing w:before="100" w:beforeAutospacing="1" w:after="198"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 2.2-</w:t>
      </w:r>
      <w:proofErr w:type="gram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01/220425-01</w:t>
      </w:r>
      <w:proofErr w:type="gramEnd"/>
    </w:p>
    <w:p w14:paraId="4C61F019" w14:textId="77777777" w:rsidR="001A700B" w:rsidRPr="001A700B" w:rsidRDefault="001A700B" w:rsidP="0006052D">
      <w:pPr>
        <w:spacing w:before="100" w:beforeAutospacing="1" w:after="198"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ученого совета факультета креативных индустрий</w:t>
      </w:r>
    </w:p>
    <w:p w14:paraId="6444D86E" w14:textId="77777777" w:rsidR="001A700B" w:rsidRPr="001A700B" w:rsidRDefault="001A700B" w:rsidP="001A700B">
      <w:pPr>
        <w:spacing w:before="278" w:after="278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A70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проведения:</w:t>
      </w:r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22.04.2025 (сведения о голосовании принимались до 18:00 23.04.2025 через личные кабинеты членов ученого совета в системе электронного голосования ученого совета факультета на корпоративном сайте (портале) НИУ ВШЭ</w:t>
      </w:r>
    </w:p>
    <w:p w14:paraId="402FDCA3" w14:textId="77777777" w:rsidR="001A700B" w:rsidRPr="001A700B" w:rsidRDefault="001A700B" w:rsidP="001A700B">
      <w:pPr>
        <w:spacing w:before="278" w:after="278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A70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проведения</w:t>
      </w:r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заочное заседание (с проведением электронного голосования)</w:t>
      </w:r>
    </w:p>
    <w:p w14:paraId="0730298B" w14:textId="77777777" w:rsidR="001A700B" w:rsidRPr="001A700B" w:rsidRDefault="001A700B" w:rsidP="001A700B">
      <w:pPr>
        <w:spacing w:before="278" w:after="278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A70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Председатель</w:t>
      </w:r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</w:t>
      </w:r>
      <w:proofErr w:type="gramEnd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Быстрицкий </w:t>
      </w:r>
    </w:p>
    <w:p w14:paraId="5DB6622E" w14:textId="77777777" w:rsidR="001A700B" w:rsidRPr="001A700B" w:rsidRDefault="001A700B" w:rsidP="001A700B">
      <w:pPr>
        <w:spacing w:before="278" w:after="278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A70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Ученый секретарь</w:t>
      </w:r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</w:t>
      </w:r>
      <w:proofErr w:type="gramEnd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Цыганова</w:t>
      </w:r>
    </w:p>
    <w:p w14:paraId="38E170C1" w14:textId="77777777" w:rsidR="001A700B" w:rsidRPr="001A700B" w:rsidRDefault="001A700B" w:rsidP="0006052D">
      <w:pPr>
        <w:spacing w:before="119" w:after="119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A70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Приняли участие: </w:t>
      </w:r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Алябьева Людмила Анатольевна, Апполонова Юлия Сергеевна, Аристова Ульяна Викторовна, Афанасьева Ольга Валентиновна, Быстрицкий Андрей Георгиевич, </w:t>
      </w:r>
      <w:proofErr w:type="spell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Джикия</w:t>
      </w:r>
      <w:proofErr w:type="spellEnd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 </w:t>
      </w:r>
      <w:proofErr w:type="spell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Ролланович</w:t>
      </w:r>
      <w:proofErr w:type="spellEnd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Дмитриев Олег Аркадьевич, </w:t>
      </w:r>
      <w:proofErr w:type="spell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Доткулова</w:t>
      </w:r>
      <w:proofErr w:type="spellEnd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Жанета </w:t>
      </w:r>
      <w:proofErr w:type="spell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Хызыровна</w:t>
      </w:r>
      <w:proofErr w:type="spellEnd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Ефанов Александр Александрович, </w:t>
      </w:r>
      <w:proofErr w:type="spell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Канкулов</w:t>
      </w:r>
      <w:proofErr w:type="spellEnd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Анзор </w:t>
      </w:r>
      <w:proofErr w:type="spell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Жамалович</w:t>
      </w:r>
      <w:proofErr w:type="spellEnd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Каткова Светлана Викторовна, Кожемякин Евгений Александрович, Куманева Ирина Петровна, </w:t>
      </w:r>
      <w:proofErr w:type="spell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Мацкявичюс</w:t>
      </w:r>
      <w:proofErr w:type="spellEnd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Эрнест </w:t>
      </w:r>
      <w:proofErr w:type="spell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Гедревич</w:t>
      </w:r>
      <w:proofErr w:type="spellEnd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Мордвинова Мария Андреевна, Москвина Жанна Олеговна, </w:t>
      </w:r>
      <w:proofErr w:type="spell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Першеева</w:t>
      </w:r>
      <w:proofErr w:type="spellEnd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Александра Дмитриевна, </w:t>
      </w:r>
      <w:proofErr w:type="spell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Прутцков</w:t>
      </w:r>
      <w:proofErr w:type="spellEnd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Григорий Владимирович, </w:t>
      </w:r>
      <w:proofErr w:type="spell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Ривчун</w:t>
      </w:r>
      <w:proofErr w:type="spellEnd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Евгеньевна, Солодухин Олег Юрьевич, Тихомирова Татьяна Борисовна, Цыганова Любовь Александровна, Шариков Александр Вячеславович.</w:t>
      </w:r>
    </w:p>
    <w:p w14:paraId="3BAF611F" w14:textId="77777777" w:rsidR="001A700B" w:rsidRPr="001A700B" w:rsidRDefault="001A700B" w:rsidP="001A700B">
      <w:pPr>
        <w:spacing w:before="119" w:after="119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29 членов Ученого совета в голосовании приняли участие 23</w:t>
      </w:r>
    </w:p>
    <w:p w14:paraId="522DC744" w14:textId="77777777" w:rsidR="001A700B" w:rsidRPr="001A700B" w:rsidRDefault="001A700B" w:rsidP="001A700B">
      <w:pPr>
        <w:spacing w:before="119" w:after="119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 имеется. Заседание правомочно.</w:t>
      </w:r>
    </w:p>
    <w:p w14:paraId="41424FD9" w14:textId="77777777" w:rsidR="001A700B" w:rsidRPr="001A700B" w:rsidRDefault="001A700B" w:rsidP="0006052D">
      <w:pPr>
        <w:spacing w:before="119" w:after="119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A70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дня:</w:t>
      </w:r>
    </w:p>
    <w:p w14:paraId="607296AD" w14:textId="77777777" w:rsidR="001A700B" w:rsidRPr="00C07B1F" w:rsidRDefault="001A700B" w:rsidP="0006052D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07B1F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 внесении изменений в паспорт образовательной программы бакалавриата «Стратегия и продюсирование в коммуникациях» факультета креативных индустрий </w:t>
      </w:r>
    </w:p>
    <w:p w14:paraId="270B4284" w14:textId="77777777" w:rsidR="001A700B" w:rsidRPr="00C07B1F" w:rsidRDefault="001A700B" w:rsidP="0006052D">
      <w:pPr>
        <w:pStyle w:val="a4"/>
        <w:jc w:val="both"/>
        <w:outlineLvl w:val="0"/>
        <w:rPr>
          <w:color w:val="000000" w:themeColor="text1"/>
          <w:sz w:val="26"/>
          <w:lang w:val="ru-RU"/>
        </w:rPr>
      </w:pPr>
      <w:r w:rsidRPr="00C07B1F">
        <w:rPr>
          <w:color w:val="000000" w:themeColor="text1"/>
          <w:sz w:val="26"/>
          <w:lang w:val="ru-RU"/>
        </w:rPr>
        <w:t>ПОСТАНОВИЛИ:</w:t>
      </w:r>
    </w:p>
    <w:p w14:paraId="7603895B" w14:textId="77777777" w:rsidR="001A700B" w:rsidRPr="00C07B1F" w:rsidRDefault="001A700B" w:rsidP="0006052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07B1F">
        <w:rPr>
          <w:rFonts w:ascii="Times New Roman" w:hAnsi="Times New Roman"/>
          <w:color w:val="000000" w:themeColor="text1"/>
          <w:sz w:val="26"/>
          <w:szCs w:val="26"/>
        </w:rPr>
        <w:t>Утвердить:</w:t>
      </w:r>
    </w:p>
    <w:p w14:paraId="108D3E17" w14:textId="5FF8002B" w:rsidR="001A700B" w:rsidRPr="0006052D" w:rsidRDefault="001A700B" w:rsidP="0006052D">
      <w:pPr>
        <w:pStyle w:val="a6"/>
        <w:numPr>
          <w:ilvl w:val="1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</w:rPr>
      </w:pPr>
      <w:r w:rsidRPr="00C07B1F">
        <w:rPr>
          <w:rFonts w:ascii="Times New Roman" w:hAnsi="Times New Roman"/>
          <w:color w:val="000000" w:themeColor="text1"/>
          <w:sz w:val="26"/>
          <w:szCs w:val="26"/>
        </w:rPr>
        <w:t xml:space="preserve"> Изменения в паспорт образовательной программы высшего образования – программы бакалавриата «Стратегия и продюсирование в коммуникациях» в части наименования специализации в паспорте образовательной программы для 2023 года набора и далее.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(Результаты голосования: За – 21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, Против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-1,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Возд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. - 1).</w:t>
      </w:r>
    </w:p>
    <w:p w14:paraId="58DEE652" w14:textId="287070DC" w:rsidR="001A700B" w:rsidRPr="001A700B" w:rsidRDefault="001A700B" w:rsidP="0006052D">
      <w:pPr>
        <w:spacing w:before="100" w:beforeAutospacing="1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A70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 внесении изменений в список кандидатур председателей ГЭК ОП "Журналистика" и "</w:t>
      </w:r>
      <w:proofErr w:type="spellStart"/>
      <w:r w:rsidRPr="001A70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Медиакоммуникации</w:t>
      </w:r>
      <w:proofErr w:type="spellEnd"/>
      <w:r w:rsidRPr="001A70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</w:t>
      </w:r>
    </w:p>
    <w:p w14:paraId="1F072223" w14:textId="7CA6619D" w:rsidR="001A700B" w:rsidRPr="001A700B" w:rsidRDefault="001A700B" w:rsidP="0006052D">
      <w:pPr>
        <w:spacing w:before="100" w:beforeAutospacing="1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ПОСТАНОВИЛИ:</w:t>
      </w:r>
    </w:p>
    <w:p w14:paraId="6FB55DDF" w14:textId="77777777" w:rsidR="001A700B" w:rsidRPr="001A700B" w:rsidRDefault="001A700B" w:rsidP="0006052D">
      <w:pPr>
        <w:spacing w:before="100" w:beforeAutospacing="1" w:after="198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Внести изменения в список кандидатур председателей ГЭК для направлений 42.03.02 Журналистика, 42.03.05 </w:t>
      </w:r>
      <w:proofErr w:type="spell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Медиакоммуникациина</w:t>
      </w:r>
      <w:proofErr w:type="spellEnd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программ «Журналистика» и «</w:t>
      </w:r>
      <w:proofErr w:type="spell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Медиакоммуникации</w:t>
      </w:r>
      <w:proofErr w:type="spellEnd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2025 год. См. приложение 1. (Результаты голосования</w:t>
      </w:r>
      <w:proofErr w:type="gram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</w:t>
      </w:r>
      <w:proofErr w:type="gramEnd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22, Против -0, </w:t>
      </w:r>
      <w:proofErr w:type="spell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</w:t>
      </w:r>
      <w:proofErr w:type="spellEnd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. -1).</w:t>
      </w:r>
    </w:p>
    <w:p w14:paraId="572587D1" w14:textId="77777777" w:rsidR="001A700B" w:rsidRPr="00F1034B" w:rsidRDefault="001A700B" w:rsidP="0006052D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3. О внесении изменений в сетевую образовательную программу магистратуры </w:t>
      </w: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«Продюсер в музыкальной индустрии» по направлениям подготовки 42.04.05 «</w:t>
      </w:r>
      <w:proofErr w:type="spellStart"/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Медиакоммуникации</w:t>
      </w:r>
      <w:proofErr w:type="spellEnd"/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», 53.04.06 «Музыкознание и музыкально-прикладное искусство» (направление подготовки реализуется вузом-партнером РАМ им. Гнесиных)</w:t>
      </w:r>
    </w:p>
    <w:p w14:paraId="55D833EB" w14:textId="77777777" w:rsidR="001A700B" w:rsidRPr="00F1034B" w:rsidRDefault="001A700B" w:rsidP="0006052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ПОСТАНОВИЛИ:</w:t>
      </w:r>
    </w:p>
    <w:p w14:paraId="624C93CA" w14:textId="77777777" w:rsidR="001A700B" w:rsidRDefault="001A700B" w:rsidP="0006052D">
      <w:pPr>
        <w:pStyle w:val="a6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1034B">
        <w:rPr>
          <w:rFonts w:ascii="Times New Roman" w:eastAsia="Times New Roman" w:hAnsi="Times New Roman"/>
          <w:sz w:val="26"/>
          <w:szCs w:val="26"/>
        </w:rPr>
        <w:t>Изменить</w:t>
      </w:r>
      <w:r w:rsidRPr="00F1034B">
        <w:rPr>
          <w:rFonts w:ascii="Times New Roman" w:eastAsia="Times New Roman" w:hAnsi="Times New Roman"/>
          <w:color w:val="000000"/>
          <w:sz w:val="26"/>
          <w:szCs w:val="26"/>
        </w:rPr>
        <w:t xml:space="preserve"> язык реализации в паспо</w:t>
      </w:r>
      <w:r w:rsidRPr="00F1034B">
        <w:rPr>
          <w:rFonts w:ascii="Times New Roman" w:eastAsia="Times New Roman" w:hAnsi="Times New Roman"/>
          <w:sz w:val="26"/>
          <w:szCs w:val="26"/>
        </w:rPr>
        <w:t xml:space="preserve">рте </w:t>
      </w:r>
      <w:r w:rsidRPr="00F1034B">
        <w:rPr>
          <w:rFonts w:ascii="Times New Roman" w:eastAsia="Times New Roman" w:hAnsi="Times New Roman"/>
          <w:color w:val="000000"/>
          <w:sz w:val="26"/>
          <w:szCs w:val="26"/>
        </w:rPr>
        <w:t>программ</w:t>
      </w:r>
      <w:r w:rsidRPr="00F1034B">
        <w:rPr>
          <w:rFonts w:ascii="Times New Roman" w:eastAsia="Times New Roman" w:hAnsi="Times New Roman"/>
          <w:sz w:val="26"/>
          <w:szCs w:val="26"/>
        </w:rPr>
        <w:t>ы</w:t>
      </w:r>
      <w:r w:rsidRPr="00F1034B">
        <w:rPr>
          <w:rFonts w:ascii="Times New Roman" w:eastAsia="Times New Roman" w:hAnsi="Times New Roman"/>
          <w:color w:val="000000"/>
          <w:sz w:val="26"/>
          <w:szCs w:val="26"/>
        </w:rPr>
        <w:t xml:space="preserve"> «Продюсер в музыкальной индустрии»: убрать «русский», заменить на «русский, английский».</w:t>
      </w:r>
    </w:p>
    <w:p w14:paraId="2ECE88EC" w14:textId="77777777" w:rsidR="001A700B" w:rsidRDefault="001A700B" w:rsidP="0006052D">
      <w:pPr>
        <w:pStyle w:val="a6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1034B">
        <w:rPr>
          <w:rFonts w:ascii="Times New Roman" w:eastAsia="Times New Roman" w:hAnsi="Times New Roman"/>
          <w:color w:val="000000"/>
          <w:sz w:val="26"/>
          <w:szCs w:val="26"/>
        </w:rPr>
        <w:t xml:space="preserve">Внести изменения в учебный план программы «Продюсер в музыкальной индустрии»: </w:t>
      </w:r>
      <w:r w:rsidRPr="00F1034B">
        <w:rPr>
          <w:rFonts w:ascii="Times New Roman" w:eastAsia="Times New Roman" w:hAnsi="Times New Roman"/>
          <w:sz w:val="26"/>
          <w:szCs w:val="26"/>
        </w:rPr>
        <w:t xml:space="preserve">в модуле «Практика» </w:t>
      </w:r>
      <w:r w:rsidRPr="00F1034B">
        <w:rPr>
          <w:rFonts w:ascii="Times New Roman" w:eastAsia="Times New Roman" w:hAnsi="Times New Roman"/>
          <w:color w:val="000000"/>
          <w:sz w:val="26"/>
          <w:szCs w:val="26"/>
        </w:rPr>
        <w:t xml:space="preserve">в блоке </w:t>
      </w:r>
      <w:r w:rsidRPr="00F1034B">
        <w:rPr>
          <w:rFonts w:ascii="Times New Roman" w:eastAsia="Times New Roman" w:hAnsi="Times New Roman"/>
          <w:sz w:val="26"/>
          <w:szCs w:val="26"/>
        </w:rPr>
        <w:t xml:space="preserve">«Профессиональная практика» в пункте 1 «Педагогическая практика (производственная)» </w:t>
      </w:r>
      <w:r w:rsidRPr="00F1034B">
        <w:rPr>
          <w:rFonts w:ascii="Times New Roman" w:eastAsia="Times New Roman" w:hAnsi="Times New Roman"/>
          <w:color w:val="000000"/>
          <w:sz w:val="26"/>
          <w:szCs w:val="26"/>
        </w:rPr>
        <w:t>перенести 3 кредита</w:t>
      </w:r>
      <w:r w:rsidRPr="00F1034B">
        <w:rPr>
          <w:rFonts w:ascii="Times New Roman" w:eastAsia="Times New Roman" w:hAnsi="Times New Roman"/>
          <w:sz w:val="26"/>
          <w:szCs w:val="26"/>
        </w:rPr>
        <w:t xml:space="preserve"> </w:t>
      </w:r>
      <w:r w:rsidRPr="00F1034B">
        <w:rPr>
          <w:rFonts w:ascii="Times New Roman" w:eastAsia="Times New Roman" w:hAnsi="Times New Roman"/>
          <w:color w:val="000000"/>
          <w:sz w:val="26"/>
          <w:szCs w:val="26"/>
        </w:rPr>
        <w:t>со второго на первый курс, убрать модуль «</w:t>
      </w:r>
      <w:proofErr w:type="spellStart"/>
      <w:r w:rsidRPr="00F1034B">
        <w:rPr>
          <w:rFonts w:ascii="Times New Roman" w:eastAsia="Times New Roman" w:hAnsi="Times New Roman"/>
          <w:color w:val="000000"/>
          <w:sz w:val="26"/>
          <w:szCs w:val="26"/>
        </w:rPr>
        <w:t>МагоЛего</w:t>
      </w:r>
      <w:proofErr w:type="spellEnd"/>
      <w:r w:rsidRPr="00F1034B">
        <w:rPr>
          <w:rFonts w:ascii="Times New Roman" w:eastAsia="Times New Roman" w:hAnsi="Times New Roman"/>
          <w:color w:val="000000"/>
          <w:sz w:val="26"/>
          <w:szCs w:val="26"/>
        </w:rPr>
        <w:t xml:space="preserve">». Высвободившиеся в результате изменений 3 кредита на первом курсе и 6 кредитов на втором курсе распределить по 3 кредита в </w:t>
      </w:r>
      <w:r w:rsidRPr="00F1034B">
        <w:rPr>
          <w:rFonts w:ascii="Times New Roman" w:eastAsia="Times New Roman" w:hAnsi="Times New Roman"/>
          <w:sz w:val="26"/>
          <w:szCs w:val="26"/>
        </w:rPr>
        <w:t>модуле</w:t>
      </w:r>
      <w:r w:rsidRPr="00F1034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F1034B">
        <w:rPr>
          <w:rFonts w:ascii="Times New Roman" w:eastAsia="Times New Roman" w:hAnsi="Times New Roman"/>
          <w:sz w:val="26"/>
          <w:szCs w:val="26"/>
        </w:rPr>
        <w:t xml:space="preserve">«Major»  на дисциплины </w:t>
      </w:r>
      <w:r w:rsidRPr="00F1034B">
        <w:rPr>
          <w:rFonts w:ascii="Times New Roman" w:eastAsia="Times New Roman" w:hAnsi="Times New Roman"/>
          <w:color w:val="000000"/>
          <w:sz w:val="26"/>
          <w:szCs w:val="26"/>
        </w:rPr>
        <w:t>«Цифровые технологии в музыкальной индустрии» (пункт 10), «Производство музыкального продукта» (пункт 5) и «Экономика и финансирование музыкальных проектов» (пу</w:t>
      </w:r>
      <w:r w:rsidRPr="00F1034B">
        <w:rPr>
          <w:rFonts w:ascii="Times New Roman" w:eastAsia="Times New Roman" w:hAnsi="Times New Roman"/>
          <w:sz w:val="26"/>
          <w:szCs w:val="26"/>
        </w:rPr>
        <w:t>нкт 6)</w:t>
      </w:r>
      <w:r w:rsidRPr="00F1034B">
        <w:rPr>
          <w:rFonts w:ascii="Times New Roman" w:eastAsia="Times New Roman" w:hAnsi="Times New Roman"/>
          <w:color w:val="000000"/>
          <w:sz w:val="26"/>
          <w:szCs w:val="26"/>
        </w:rPr>
        <w:t>, соответственно.</w:t>
      </w:r>
    </w:p>
    <w:p w14:paraId="446785B9" w14:textId="77777777" w:rsidR="001A700B" w:rsidRDefault="001A700B" w:rsidP="0006052D">
      <w:pPr>
        <w:pStyle w:val="a6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(результаты голосования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: За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22, Против -0,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Возд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>. -1).</w:t>
      </w:r>
    </w:p>
    <w:p w14:paraId="092B248A" w14:textId="77777777" w:rsidR="001A700B" w:rsidRDefault="001A700B" w:rsidP="0006052D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</w:pPr>
    </w:p>
    <w:p w14:paraId="507F9896" w14:textId="3F966EF3" w:rsidR="001A700B" w:rsidRDefault="001A700B" w:rsidP="0006052D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sz w:val="26"/>
          <w:szCs w:val="26"/>
        </w:rPr>
      </w:pPr>
      <w:r w:rsidRPr="00BC75EE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О внесении изменений в сетевую образовательную программу магистратуры </w:t>
      </w: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«Продюсер театра и исполнительских искусств» по направлениям подготовки 42.04.05 «</w:t>
      </w:r>
      <w:proofErr w:type="spellStart"/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Медиакоммуникации</w:t>
      </w:r>
      <w:proofErr w:type="spellEnd"/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» и 52.04.03 «Театральное искусство» (направление подготовки реализуется вузом-партнером Российским институтом театрального искусства – ГИТИС)</w:t>
      </w:r>
      <w:r>
        <w:rPr>
          <w:sz w:val="26"/>
          <w:szCs w:val="26"/>
        </w:rPr>
        <w:t xml:space="preserve"> </w:t>
      </w:r>
    </w:p>
    <w:p w14:paraId="4A0D9506" w14:textId="77777777" w:rsidR="001A700B" w:rsidRDefault="001A700B" w:rsidP="0006052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ПОСТАНОВИЛИ:</w:t>
      </w:r>
    </w:p>
    <w:p w14:paraId="061ADB8E" w14:textId="77777777" w:rsidR="001A700B" w:rsidRDefault="001A700B" w:rsidP="0006052D">
      <w:pPr>
        <w:pStyle w:val="a6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A0F4E">
        <w:rPr>
          <w:rFonts w:ascii="Times New Roman" w:eastAsia="Times New Roman" w:hAnsi="Times New Roman"/>
          <w:sz w:val="26"/>
          <w:szCs w:val="26"/>
        </w:rPr>
        <w:t>Изменить</w:t>
      </w:r>
      <w:r w:rsidRPr="000A0F4E">
        <w:rPr>
          <w:rFonts w:ascii="Times New Roman" w:eastAsia="Times New Roman" w:hAnsi="Times New Roman"/>
          <w:color w:val="000000"/>
          <w:sz w:val="26"/>
          <w:szCs w:val="26"/>
        </w:rPr>
        <w:t xml:space="preserve"> язык реализации в паспорте прог</w:t>
      </w:r>
      <w:r w:rsidRPr="000A0F4E">
        <w:rPr>
          <w:rFonts w:ascii="Times New Roman" w:eastAsia="Times New Roman" w:hAnsi="Times New Roman"/>
          <w:sz w:val="26"/>
          <w:szCs w:val="26"/>
        </w:rPr>
        <w:t>раммы</w:t>
      </w:r>
      <w:r w:rsidRPr="000A0F4E">
        <w:rPr>
          <w:rFonts w:ascii="Times New Roman" w:eastAsia="Times New Roman" w:hAnsi="Times New Roman"/>
          <w:color w:val="000000"/>
          <w:sz w:val="26"/>
          <w:szCs w:val="26"/>
        </w:rPr>
        <w:t xml:space="preserve"> «Продюсер театра и исполнительских искусств»: убрать «русский», заменить на «русский, английский».</w:t>
      </w:r>
    </w:p>
    <w:p w14:paraId="4F6577EE" w14:textId="77777777" w:rsidR="001A700B" w:rsidRDefault="001A700B" w:rsidP="0006052D">
      <w:pPr>
        <w:pStyle w:val="a6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A0F4E">
        <w:rPr>
          <w:rFonts w:ascii="Times New Roman" w:eastAsia="Times New Roman" w:hAnsi="Times New Roman"/>
          <w:color w:val="000000"/>
          <w:sz w:val="26"/>
          <w:szCs w:val="26"/>
        </w:rPr>
        <w:t>Внести изменения в учебный план программы «Продюсер театра и исполнительских искусств»: убрать модуль «</w:t>
      </w:r>
      <w:proofErr w:type="spellStart"/>
      <w:r w:rsidRPr="000A0F4E">
        <w:rPr>
          <w:rFonts w:ascii="Times New Roman" w:eastAsia="Times New Roman" w:hAnsi="Times New Roman"/>
          <w:color w:val="000000"/>
          <w:sz w:val="26"/>
          <w:szCs w:val="26"/>
        </w:rPr>
        <w:t>МагоЛего</w:t>
      </w:r>
      <w:proofErr w:type="spellEnd"/>
      <w:r w:rsidRPr="000A0F4E">
        <w:rPr>
          <w:rFonts w:ascii="Times New Roman" w:eastAsia="Times New Roman" w:hAnsi="Times New Roman"/>
          <w:color w:val="000000"/>
          <w:sz w:val="26"/>
          <w:szCs w:val="26"/>
        </w:rPr>
        <w:t xml:space="preserve">», высвободившиеся 6 кредитов на первом курсе и 3 кредита на втором курсе распределить </w:t>
      </w:r>
      <w:r w:rsidRPr="000A0F4E">
        <w:rPr>
          <w:rFonts w:ascii="Times New Roman" w:eastAsia="Times New Roman" w:hAnsi="Times New Roman"/>
          <w:sz w:val="26"/>
          <w:szCs w:val="26"/>
        </w:rPr>
        <w:t xml:space="preserve"> в модуле «Major»</w:t>
      </w:r>
      <w:r w:rsidRPr="000A0F4E">
        <w:rPr>
          <w:rFonts w:ascii="Times New Roman" w:eastAsia="Times New Roman" w:hAnsi="Times New Roman"/>
          <w:color w:val="000000"/>
          <w:sz w:val="26"/>
          <w:szCs w:val="26"/>
        </w:rPr>
        <w:t xml:space="preserve"> на дисциплины «Основы продюсирования творческих проектов» (пункт 4) и «Сценография и производство спектакля» (пункт 7), соответственно.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(результаты голосования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: За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22, Против -0,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Возд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>. -1).</w:t>
      </w:r>
    </w:p>
    <w:p w14:paraId="02B6B8C9" w14:textId="77777777" w:rsidR="001A700B" w:rsidRDefault="001A700B" w:rsidP="001A700B">
      <w:pPr>
        <w:pStyle w:val="a6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6BA7954A" w14:textId="05A7571C" w:rsidR="0006052D" w:rsidRPr="001A700B" w:rsidRDefault="0006052D" w:rsidP="0006052D">
      <w:pPr>
        <w:spacing w:before="278" w:after="278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Председатель: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</w:t>
      </w:r>
      <w:proofErr w:type="gramEnd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Быстрицкий </w:t>
      </w:r>
    </w:p>
    <w:p w14:paraId="1717347E" w14:textId="4EE5B031" w:rsidR="0006052D" w:rsidRPr="001A700B" w:rsidRDefault="0006052D" w:rsidP="0006052D">
      <w:pPr>
        <w:spacing w:before="278" w:after="278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Ученый секретарь: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</w:t>
      </w:r>
      <w:proofErr w:type="gramEnd"/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Цыганова</w:t>
      </w:r>
    </w:p>
    <w:p w14:paraId="4B00B027" w14:textId="5CA52E00" w:rsidR="0006052D" w:rsidRDefault="0006052D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br w:type="page"/>
      </w:r>
    </w:p>
    <w:p w14:paraId="47E2ACE9" w14:textId="77777777" w:rsidR="001A700B" w:rsidRPr="001A700B" w:rsidRDefault="001A700B" w:rsidP="001A700B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4729890" w14:textId="698C9256" w:rsidR="001A700B" w:rsidRPr="001A700B" w:rsidRDefault="001A700B" w:rsidP="001A700B">
      <w:pPr>
        <w:spacing w:before="100" w:beforeAutospacing="1" w:after="198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A70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14:paraId="6B53C8B1" w14:textId="77777777" w:rsidR="001A700B" w:rsidRPr="001A700B" w:rsidRDefault="001A700B" w:rsidP="001A700B">
      <w:pPr>
        <w:spacing w:before="100" w:beforeAutospacing="1" w:after="198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A70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Список председателей ГЭК институт медиа</w:t>
      </w:r>
    </w:p>
    <w:tbl>
      <w:tblPr>
        <w:tblW w:w="10515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572"/>
        <w:gridCol w:w="1937"/>
        <w:gridCol w:w="2160"/>
        <w:gridCol w:w="2040"/>
        <w:gridCol w:w="1950"/>
      </w:tblGrid>
      <w:tr w:rsidR="001A700B" w:rsidRPr="001A700B" w14:paraId="2F42B080" w14:textId="77777777" w:rsidTr="001A700B">
        <w:trPr>
          <w:trHeight w:val="320"/>
          <w:tblCellSpacing w:w="0" w:type="dxa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hideMark/>
          </w:tcPr>
          <w:p w14:paraId="08471C39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A70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Образовательные программы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hideMark/>
          </w:tcPr>
          <w:p w14:paraId="2B127C2B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A70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Фамилия, имя, отчество председателя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hideMark/>
          </w:tcPr>
          <w:p w14:paraId="7F323FB4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A70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Основное место работы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hideMark/>
          </w:tcPr>
          <w:p w14:paraId="45C2E489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A70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hideMark/>
          </w:tcPr>
          <w:p w14:paraId="60C63741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A70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Ученая степень, ученое звание</w:t>
            </w:r>
          </w:p>
        </w:tc>
      </w:tr>
      <w:tr w:rsidR="001A700B" w:rsidRPr="001A700B" w14:paraId="32169383" w14:textId="77777777" w:rsidTr="001A700B">
        <w:trPr>
          <w:trHeight w:val="340"/>
          <w:tblCellSpacing w:w="0" w:type="dxa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hideMark/>
          </w:tcPr>
          <w:p w14:paraId="2C79E9F4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Журналистика, </w:t>
            </w:r>
            <w:proofErr w:type="spellStart"/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Медиакоммуникации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45" w:type="dxa"/>
              <w:bottom w:w="28" w:type="dxa"/>
              <w:right w:w="45" w:type="dxa"/>
            </w:tcMar>
            <w:vAlign w:val="bottom"/>
            <w:hideMark/>
          </w:tcPr>
          <w:p w14:paraId="5C110C1B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Митяева Анна Михайловна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bottom"/>
            <w:hideMark/>
          </w:tcPr>
          <w:p w14:paraId="150A592E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Заведующая кафедрой конфликтологии и социального управления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bottom"/>
            <w:hideMark/>
          </w:tcPr>
          <w:p w14:paraId="490BE65E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Орловский государственный университет имени </w:t>
            </w:r>
            <w:proofErr w:type="gramStart"/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И.С.</w:t>
            </w:r>
            <w:proofErr w:type="gramEnd"/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Тургенева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bottom"/>
            <w:hideMark/>
          </w:tcPr>
          <w:p w14:paraId="689187E0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доктор педагогических наук</w:t>
            </w:r>
          </w:p>
        </w:tc>
      </w:tr>
      <w:tr w:rsidR="001A700B" w:rsidRPr="001A700B" w14:paraId="799C29E6" w14:textId="77777777" w:rsidTr="001A700B">
        <w:trPr>
          <w:trHeight w:val="340"/>
          <w:tblCellSpacing w:w="0" w:type="dxa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hideMark/>
          </w:tcPr>
          <w:p w14:paraId="2725DB16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Журналистика, </w:t>
            </w:r>
            <w:proofErr w:type="spellStart"/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Медиакоммуникации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45" w:type="dxa"/>
              <w:bottom w:w="28" w:type="dxa"/>
              <w:right w:w="45" w:type="dxa"/>
            </w:tcMar>
            <w:vAlign w:val="bottom"/>
            <w:hideMark/>
          </w:tcPr>
          <w:p w14:paraId="7252B44E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Добросклонская</w:t>
            </w:r>
            <w:proofErr w:type="spellEnd"/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Георгиевна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bottom"/>
            <w:hideMark/>
          </w:tcPr>
          <w:p w14:paraId="69DC01F4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Профессор кафедры информационного обеспечения внешней политики факультета мировой политики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bottom"/>
            <w:hideMark/>
          </w:tcPr>
          <w:p w14:paraId="3843E3F4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Московский государственный университет им. </w:t>
            </w:r>
            <w:proofErr w:type="gramStart"/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М.В.</w:t>
            </w:r>
            <w:proofErr w:type="gramEnd"/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Ломоносова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bottom"/>
            <w:hideMark/>
          </w:tcPr>
          <w:p w14:paraId="1F8CDA37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доктор филологических наук</w:t>
            </w:r>
          </w:p>
        </w:tc>
      </w:tr>
      <w:tr w:rsidR="001A700B" w:rsidRPr="001A700B" w14:paraId="6CEF8328" w14:textId="77777777" w:rsidTr="001A700B">
        <w:trPr>
          <w:trHeight w:val="320"/>
          <w:tblCellSpacing w:w="0" w:type="dxa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hideMark/>
          </w:tcPr>
          <w:p w14:paraId="7700460D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Медиакоммуникации</w:t>
            </w:r>
            <w:proofErr w:type="spellEnd"/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Журналистика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45" w:type="dxa"/>
              <w:bottom w:w="28" w:type="dxa"/>
              <w:right w:w="45" w:type="dxa"/>
            </w:tcMar>
            <w:hideMark/>
          </w:tcPr>
          <w:p w14:paraId="608C5755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 Александр Николаевич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hideMark/>
          </w:tcPr>
          <w:p w14:paraId="02FF4667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hideMark/>
          </w:tcPr>
          <w:p w14:paraId="163C8DD3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Компания "Бисер </w:t>
            </w:r>
            <w:proofErr w:type="spellStart"/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Productions</w:t>
            </w:r>
            <w:proofErr w:type="spellEnd"/>
            <w:r w:rsidRPr="001A7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bottom"/>
            <w:hideMark/>
          </w:tcPr>
          <w:p w14:paraId="2C19982B" w14:textId="77777777" w:rsidR="001A700B" w:rsidRPr="001A700B" w:rsidRDefault="001A700B" w:rsidP="001A700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3B87980F" w14:textId="77777777" w:rsidR="001A700B" w:rsidRPr="001A700B" w:rsidRDefault="001A700B" w:rsidP="001A700B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5BE13B1C" w14:textId="77777777" w:rsidR="001A700B" w:rsidRPr="001A700B" w:rsidRDefault="001A700B" w:rsidP="001A700B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35DEEF15" w14:textId="77777777" w:rsidR="005F078E" w:rsidRDefault="00000000"/>
    <w:sectPr w:rsidR="005F078E" w:rsidSect="00FC70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4C57"/>
    <w:multiLevelType w:val="multilevel"/>
    <w:tmpl w:val="B17C9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437768C3"/>
    <w:multiLevelType w:val="multilevel"/>
    <w:tmpl w:val="BA7E29B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suff w:val="space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538C62E4"/>
    <w:multiLevelType w:val="multilevel"/>
    <w:tmpl w:val="07E64C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3EA7B72"/>
    <w:multiLevelType w:val="hybridMultilevel"/>
    <w:tmpl w:val="FF60CF3E"/>
    <w:lvl w:ilvl="0" w:tplc="72A81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793861">
    <w:abstractNumId w:val="1"/>
  </w:num>
  <w:num w:numId="2" w16cid:durableId="596211548">
    <w:abstractNumId w:val="3"/>
  </w:num>
  <w:num w:numId="3" w16cid:durableId="837502300">
    <w:abstractNumId w:val="0"/>
  </w:num>
  <w:num w:numId="4" w16cid:durableId="2053067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0B"/>
    <w:rsid w:val="0006052D"/>
    <w:rsid w:val="001A700B"/>
    <w:rsid w:val="00F66746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0EA53D"/>
  <w14:defaultImageDpi w14:val="32767"/>
  <w15:chartTrackingRefBased/>
  <w15:docId w15:val="{8E760A5B-6F81-A744-9986-DEB49E2C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00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styleId="a4">
    <w:name w:val="Body Text"/>
    <w:basedOn w:val="a"/>
    <w:link w:val="a5"/>
    <w:rsid w:val="001A700B"/>
    <w:pPr>
      <w:jc w:val="center"/>
    </w:pPr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1A700B"/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1A700B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Любовь Александровна</dc:creator>
  <cp:keywords/>
  <dc:description/>
  <cp:lastModifiedBy>Цыганова Любовь Александровна</cp:lastModifiedBy>
  <cp:revision>2</cp:revision>
  <dcterms:created xsi:type="dcterms:W3CDTF">2025-06-01T09:24:00Z</dcterms:created>
  <dcterms:modified xsi:type="dcterms:W3CDTF">2025-06-01T09:39:00Z</dcterms:modified>
</cp:coreProperties>
</file>